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B019" w14:textId="7296CDDD" w:rsidR="00B64C30" w:rsidRPr="00F10687" w:rsidRDefault="14ADD688" w:rsidP="634C56EE">
      <w:pPr>
        <w:rPr>
          <w:rFonts w:eastAsiaTheme="minorEastAsia"/>
          <w:b/>
          <w:bCs/>
          <w:color w:val="0F4761" w:themeColor="accent1" w:themeShade="BF"/>
          <w:sz w:val="28"/>
          <w:szCs w:val="28"/>
        </w:rPr>
      </w:pPr>
      <w:r w:rsidRPr="634C56EE">
        <w:rPr>
          <w:rFonts w:eastAsiaTheme="minorEastAsia"/>
          <w:b/>
          <w:bCs/>
          <w:color w:val="0F4761" w:themeColor="accent1" w:themeShade="BF"/>
          <w:sz w:val="28"/>
          <w:szCs w:val="28"/>
        </w:rPr>
        <w:t xml:space="preserve">Friends Provident Foundation - New Economy Infrastructure Funding. </w:t>
      </w:r>
    </w:p>
    <w:p w14:paraId="16A8403F" w14:textId="77777777" w:rsidR="003E15EC" w:rsidRPr="003E15EC" w:rsidRDefault="003E15EC" w:rsidP="003E15EC">
      <w:pPr>
        <w:ind w:right="276"/>
        <w:jc w:val="both"/>
        <w:rPr>
          <w:rFonts w:cs="Arial"/>
          <w:b/>
          <w:bCs/>
          <w:sz w:val="22"/>
          <w:szCs w:val="22"/>
        </w:rPr>
      </w:pPr>
      <w:r w:rsidRPr="003E15EC">
        <w:rPr>
          <w:rFonts w:cs="Arial"/>
          <w:b/>
          <w:bCs/>
          <w:sz w:val="22"/>
          <w:szCs w:val="22"/>
        </w:rPr>
        <w:t xml:space="preserve">About Friends Provident Foundation </w:t>
      </w:r>
    </w:p>
    <w:p w14:paraId="4FB581CF" w14:textId="43C559F0" w:rsidR="003E15EC" w:rsidRPr="003E15EC" w:rsidRDefault="003E15EC" w:rsidP="003E15EC">
      <w:pPr>
        <w:ind w:right="276"/>
        <w:jc w:val="both"/>
        <w:rPr>
          <w:rFonts w:cs="Arial"/>
          <w:sz w:val="22"/>
          <w:szCs w:val="22"/>
        </w:rPr>
      </w:pPr>
      <w:r w:rsidRPr="003E15EC">
        <w:rPr>
          <w:rFonts w:cs="Arial"/>
          <w:sz w:val="22"/>
          <w:szCs w:val="22"/>
        </w:rPr>
        <w:t xml:space="preserve">Friends Provident Foundation is a capitalised charity. We use </w:t>
      </w:r>
      <w:r w:rsidR="000610F6">
        <w:rPr>
          <w:rFonts w:cs="Arial"/>
          <w:sz w:val="22"/>
          <w:szCs w:val="22"/>
        </w:rPr>
        <w:t xml:space="preserve">both </w:t>
      </w:r>
      <w:r w:rsidRPr="003E15EC">
        <w:rPr>
          <w:rFonts w:cs="Arial"/>
          <w:sz w:val="22"/>
          <w:szCs w:val="22"/>
        </w:rPr>
        <w:t>our grant making and investment activities</w:t>
      </w:r>
      <w:r w:rsidR="00BF52B6">
        <w:rPr>
          <w:rFonts w:cs="Arial"/>
          <w:sz w:val="22"/>
          <w:szCs w:val="22"/>
        </w:rPr>
        <w:t xml:space="preserve"> to p</w:t>
      </w:r>
      <w:r w:rsidRPr="003E15EC">
        <w:rPr>
          <w:rFonts w:cs="Arial"/>
          <w:sz w:val="22"/>
          <w:szCs w:val="22"/>
        </w:rPr>
        <w:t>ursu</w:t>
      </w:r>
      <w:r w:rsidR="00BF52B6">
        <w:rPr>
          <w:rFonts w:cs="Arial"/>
          <w:sz w:val="22"/>
          <w:szCs w:val="22"/>
        </w:rPr>
        <w:t>e</w:t>
      </w:r>
      <w:r w:rsidRPr="003E15EC">
        <w:rPr>
          <w:rFonts w:cs="Arial"/>
          <w:sz w:val="22"/>
          <w:szCs w:val="22"/>
        </w:rPr>
        <w:t xml:space="preserve"> our mission </w:t>
      </w:r>
      <w:r w:rsidR="00BF52B6">
        <w:rPr>
          <w:rFonts w:cs="Arial"/>
          <w:sz w:val="22"/>
          <w:szCs w:val="22"/>
        </w:rPr>
        <w:t>of creating</w:t>
      </w:r>
      <w:r w:rsidRPr="003E15EC">
        <w:rPr>
          <w:rFonts w:cs="Arial"/>
          <w:sz w:val="22"/>
          <w:szCs w:val="22"/>
        </w:rPr>
        <w:t xml:space="preserve"> a fair and sustainable economic system. </w:t>
      </w:r>
    </w:p>
    <w:p w14:paraId="0141C2A3" w14:textId="3B81516E" w:rsidR="003E15EC" w:rsidRPr="003E15EC" w:rsidRDefault="003E15EC" w:rsidP="003E15EC">
      <w:pPr>
        <w:ind w:right="276"/>
        <w:jc w:val="both"/>
        <w:rPr>
          <w:rFonts w:cs="Arial"/>
          <w:sz w:val="22"/>
          <w:szCs w:val="22"/>
        </w:rPr>
      </w:pPr>
      <w:r w:rsidRPr="003E15EC">
        <w:rPr>
          <w:rFonts w:cs="Arial"/>
          <w:sz w:val="22"/>
          <w:szCs w:val="22"/>
        </w:rPr>
        <w:t xml:space="preserve">We believe that our economy contributes to many of the </w:t>
      </w:r>
      <w:r w:rsidR="00BF52B6">
        <w:rPr>
          <w:rFonts w:cs="Arial"/>
          <w:sz w:val="22"/>
          <w:szCs w:val="22"/>
        </w:rPr>
        <w:t>challenges</w:t>
      </w:r>
      <w:r w:rsidRPr="003E15EC">
        <w:rPr>
          <w:rFonts w:cs="Arial"/>
          <w:sz w:val="22"/>
          <w:szCs w:val="22"/>
        </w:rPr>
        <w:t xml:space="preserve"> we face</w:t>
      </w:r>
      <w:r w:rsidR="000D775B">
        <w:rPr>
          <w:rFonts w:cs="Arial"/>
          <w:sz w:val="22"/>
          <w:szCs w:val="22"/>
        </w:rPr>
        <w:t xml:space="preserve">, such as climate breakdown, social inequality and financial instability, </w:t>
      </w:r>
      <w:r w:rsidRPr="003E15EC">
        <w:rPr>
          <w:rFonts w:cs="Arial"/>
          <w:sz w:val="22"/>
          <w:szCs w:val="22"/>
        </w:rPr>
        <w:t xml:space="preserve">but it doesn’t have to be this way. We have a vision for a better economy. </w:t>
      </w:r>
    </w:p>
    <w:p w14:paraId="52D491EC" w14:textId="73827C86" w:rsidR="003E15EC" w:rsidRPr="003E15EC" w:rsidRDefault="003E15EC" w:rsidP="003E15EC">
      <w:pPr>
        <w:rPr>
          <w:rFonts w:cs="Arial"/>
          <w:sz w:val="22"/>
          <w:szCs w:val="22"/>
        </w:rPr>
      </w:pPr>
      <w:r w:rsidRPr="003E15EC">
        <w:rPr>
          <w:rFonts w:cs="Arial"/>
          <w:sz w:val="22"/>
          <w:szCs w:val="22"/>
          <w:lang w:val="en-US"/>
        </w:rPr>
        <w:t xml:space="preserve">Since </w:t>
      </w:r>
      <w:r w:rsidR="000D775B">
        <w:rPr>
          <w:rFonts w:cs="Arial"/>
          <w:sz w:val="22"/>
          <w:szCs w:val="22"/>
          <w:lang w:val="en-US"/>
        </w:rPr>
        <w:t xml:space="preserve">our creation in </w:t>
      </w:r>
      <w:r w:rsidRPr="003E15EC">
        <w:rPr>
          <w:rFonts w:cs="Arial"/>
          <w:sz w:val="22"/>
          <w:szCs w:val="22"/>
          <w:lang w:val="en-US"/>
        </w:rPr>
        <w:t xml:space="preserve">2004, we </w:t>
      </w:r>
      <w:r w:rsidRPr="003E15EC">
        <w:rPr>
          <w:rFonts w:cs="Arial"/>
          <w:sz w:val="22"/>
          <w:szCs w:val="22"/>
        </w:rPr>
        <w:t xml:space="preserve">have supported </w:t>
      </w:r>
      <w:r w:rsidR="00E55807">
        <w:rPr>
          <w:rFonts w:cs="Arial"/>
          <w:sz w:val="22"/>
          <w:szCs w:val="22"/>
        </w:rPr>
        <w:t xml:space="preserve">a wide range of </w:t>
      </w:r>
      <w:r w:rsidRPr="003E15EC">
        <w:rPr>
          <w:rFonts w:cs="Arial"/>
          <w:sz w:val="22"/>
          <w:szCs w:val="22"/>
        </w:rPr>
        <w:t xml:space="preserve"> projects and organisations working on economic change. We have funded the development of ideas and practical initiatives that have made some progress in trying to find new ways to shape our economy. </w:t>
      </w:r>
    </w:p>
    <w:p w14:paraId="3FEEF91B" w14:textId="764A4150" w:rsidR="003E15EC" w:rsidRDefault="00E55807" w:rsidP="003E15EC">
      <w:pPr>
        <w:rPr>
          <w:rFonts w:cs="Arial"/>
          <w:sz w:val="22"/>
          <w:szCs w:val="22"/>
        </w:rPr>
      </w:pPr>
      <w:r>
        <w:rPr>
          <w:rFonts w:cs="Arial"/>
          <w:sz w:val="22"/>
          <w:szCs w:val="22"/>
        </w:rPr>
        <w:t xml:space="preserve">However, since the </w:t>
      </w:r>
      <w:r w:rsidR="003E15EC" w:rsidRPr="003E15EC">
        <w:rPr>
          <w:rFonts w:cs="Arial"/>
          <w:sz w:val="22"/>
          <w:szCs w:val="22"/>
        </w:rPr>
        <w:t>2008</w:t>
      </w:r>
      <w:r w:rsidR="00B36192">
        <w:rPr>
          <w:rFonts w:cs="Arial"/>
          <w:sz w:val="22"/>
          <w:szCs w:val="22"/>
        </w:rPr>
        <w:t xml:space="preserve"> financial crisis, the dominant </w:t>
      </w:r>
      <w:r w:rsidR="003E15EC" w:rsidRPr="003E15EC">
        <w:rPr>
          <w:rFonts w:cs="Arial"/>
          <w:sz w:val="22"/>
          <w:szCs w:val="22"/>
        </w:rPr>
        <w:t xml:space="preserve">financial system has re-asserted itself, </w:t>
      </w:r>
      <w:r w:rsidR="00B36192">
        <w:rPr>
          <w:rFonts w:cs="Arial"/>
          <w:sz w:val="22"/>
          <w:szCs w:val="22"/>
        </w:rPr>
        <w:t>whilst</w:t>
      </w:r>
      <w:r w:rsidR="003E15EC" w:rsidRPr="003E15EC">
        <w:rPr>
          <w:rFonts w:cs="Arial"/>
          <w:sz w:val="22"/>
          <w:szCs w:val="22"/>
        </w:rPr>
        <w:t xml:space="preserve"> climate breakdown and inequality have worsened. The UK is not short of ideas </w:t>
      </w:r>
      <w:r w:rsidR="00B36192">
        <w:rPr>
          <w:rFonts w:cs="Arial"/>
          <w:sz w:val="22"/>
          <w:szCs w:val="22"/>
        </w:rPr>
        <w:t>for</w:t>
      </w:r>
      <w:r w:rsidR="003E15EC" w:rsidRPr="003E15EC">
        <w:rPr>
          <w:rFonts w:cs="Arial"/>
          <w:sz w:val="22"/>
          <w:szCs w:val="22"/>
        </w:rPr>
        <w:t xml:space="preserve"> change: </w:t>
      </w:r>
      <w:r w:rsidR="00B36192">
        <w:rPr>
          <w:rFonts w:cs="Arial"/>
          <w:sz w:val="22"/>
          <w:szCs w:val="22"/>
        </w:rPr>
        <w:t xml:space="preserve">it is home to a </w:t>
      </w:r>
      <w:r w:rsidR="003E15EC" w:rsidRPr="003E15EC">
        <w:rPr>
          <w:rFonts w:cs="Arial"/>
          <w:sz w:val="22"/>
          <w:szCs w:val="22"/>
        </w:rPr>
        <w:t>creative</w:t>
      </w:r>
      <w:r w:rsidR="00B36192">
        <w:rPr>
          <w:rFonts w:cs="Arial"/>
          <w:sz w:val="22"/>
          <w:szCs w:val="22"/>
        </w:rPr>
        <w:t>, active</w:t>
      </w:r>
      <w:r w:rsidR="003E15EC" w:rsidRPr="003E15EC">
        <w:rPr>
          <w:rFonts w:cs="Arial"/>
          <w:sz w:val="22"/>
          <w:szCs w:val="22"/>
        </w:rPr>
        <w:t xml:space="preserve"> movement of new economy organisations generating a wealth of intelligence, evidence and innovations for shifting the economy. </w:t>
      </w:r>
    </w:p>
    <w:p w14:paraId="626AC92E" w14:textId="32167559" w:rsidR="00F410A2" w:rsidRDefault="00F255F8" w:rsidP="003E15EC">
      <w:pPr>
        <w:rPr>
          <w:rFonts w:cs="Arial"/>
          <w:sz w:val="22"/>
          <w:szCs w:val="22"/>
        </w:rPr>
      </w:pPr>
      <w:r>
        <w:rPr>
          <w:rFonts w:cs="Arial"/>
          <w:sz w:val="22"/>
          <w:szCs w:val="22"/>
        </w:rPr>
        <w:t xml:space="preserve">Two of our funding streams under the </w:t>
      </w:r>
      <w:r w:rsidR="00254FED" w:rsidRPr="00961AE3">
        <w:rPr>
          <w:rFonts w:cs="Arial"/>
          <w:i/>
          <w:iCs/>
          <w:sz w:val="22"/>
          <w:szCs w:val="22"/>
        </w:rPr>
        <w:t>Realising A New Economy</w:t>
      </w:r>
      <w:r>
        <w:rPr>
          <w:rFonts w:cs="Arial"/>
          <w:sz w:val="22"/>
          <w:szCs w:val="22"/>
        </w:rPr>
        <w:t xml:space="preserve"> programme address what we see as key blockers to change: </w:t>
      </w:r>
      <w:r w:rsidR="005E7D0E">
        <w:rPr>
          <w:rFonts w:cs="Arial"/>
          <w:sz w:val="22"/>
          <w:szCs w:val="22"/>
        </w:rPr>
        <w:t xml:space="preserve">our collective cultural perceptions of the economy; and </w:t>
      </w:r>
      <w:r w:rsidR="00176F92" w:rsidRPr="00176F92">
        <w:rPr>
          <w:rFonts w:cs="Arial"/>
          <w:sz w:val="22"/>
          <w:szCs w:val="22"/>
        </w:rPr>
        <w:t>the ‘hidden wiring’ of the UK’s financial system</w:t>
      </w:r>
      <w:r w:rsidR="00176F92">
        <w:rPr>
          <w:rFonts w:cs="Arial"/>
          <w:sz w:val="22"/>
          <w:szCs w:val="22"/>
        </w:rPr>
        <w:t xml:space="preserve">. </w:t>
      </w:r>
    </w:p>
    <w:p w14:paraId="3598F141" w14:textId="1F67886C" w:rsidR="00F410A2" w:rsidRDefault="005109DC" w:rsidP="00F410A2">
      <w:pPr>
        <w:rPr>
          <w:rFonts w:eastAsiaTheme="minorEastAsia"/>
          <w:sz w:val="22"/>
          <w:szCs w:val="22"/>
        </w:rPr>
      </w:pPr>
      <w:r>
        <w:rPr>
          <w:rFonts w:cs="Arial"/>
          <w:sz w:val="22"/>
          <w:szCs w:val="22"/>
        </w:rPr>
        <w:t xml:space="preserve">This strand </w:t>
      </w:r>
      <w:r w:rsidR="00961AE3">
        <w:rPr>
          <w:rFonts w:cs="Arial"/>
          <w:sz w:val="22"/>
          <w:szCs w:val="22"/>
        </w:rPr>
        <w:t>complements</w:t>
      </w:r>
      <w:r w:rsidR="00010FA0">
        <w:rPr>
          <w:rFonts w:cs="Arial"/>
          <w:sz w:val="22"/>
          <w:szCs w:val="22"/>
        </w:rPr>
        <w:t xml:space="preserve"> those efforts by </w:t>
      </w:r>
      <w:r>
        <w:rPr>
          <w:rFonts w:cs="Arial"/>
          <w:sz w:val="22"/>
          <w:szCs w:val="22"/>
        </w:rPr>
        <w:t>recognis</w:t>
      </w:r>
      <w:r w:rsidR="00010FA0">
        <w:rPr>
          <w:rFonts w:cs="Arial"/>
          <w:sz w:val="22"/>
          <w:szCs w:val="22"/>
        </w:rPr>
        <w:t xml:space="preserve">ing </w:t>
      </w:r>
      <w:r>
        <w:rPr>
          <w:rFonts w:cs="Arial"/>
          <w:sz w:val="22"/>
          <w:szCs w:val="22"/>
        </w:rPr>
        <w:t xml:space="preserve">the need for </w:t>
      </w:r>
      <w:r w:rsidR="00010FA0">
        <w:rPr>
          <w:rFonts w:cs="Arial"/>
          <w:sz w:val="22"/>
          <w:szCs w:val="22"/>
        </w:rPr>
        <w:t>ongoing</w:t>
      </w:r>
      <w:r>
        <w:rPr>
          <w:rFonts w:cs="Arial"/>
          <w:sz w:val="22"/>
          <w:szCs w:val="22"/>
        </w:rPr>
        <w:t xml:space="preserve"> support for a</w:t>
      </w:r>
      <w:r w:rsidR="00F410A2" w:rsidRPr="001C6F30">
        <w:rPr>
          <w:rFonts w:eastAsiaTheme="minorEastAsia"/>
          <w:sz w:val="22"/>
          <w:szCs w:val="22"/>
        </w:rPr>
        <w:t xml:space="preserve"> strong, </w:t>
      </w:r>
      <w:r w:rsidR="00F410A2">
        <w:rPr>
          <w:rFonts w:eastAsiaTheme="minorEastAsia"/>
          <w:sz w:val="22"/>
          <w:szCs w:val="22"/>
        </w:rPr>
        <w:t>diverse</w:t>
      </w:r>
      <w:r w:rsidR="00F410A2" w:rsidRPr="001C6F30">
        <w:rPr>
          <w:rFonts w:eastAsiaTheme="minorEastAsia"/>
          <w:sz w:val="22"/>
          <w:szCs w:val="22"/>
        </w:rPr>
        <w:t>, and well-resourced ecosystem of organisations dedicated to developing and advancing alternative economic ideas and practices.</w:t>
      </w:r>
    </w:p>
    <w:p w14:paraId="4CE56032" w14:textId="24C074F9" w:rsidR="003E15EC" w:rsidRPr="00A34324" w:rsidRDefault="003E15EC" w:rsidP="001C6F30">
      <w:pPr>
        <w:rPr>
          <w:rFonts w:eastAsiaTheme="minorEastAsia"/>
          <w:b/>
          <w:bCs/>
          <w:sz w:val="22"/>
          <w:szCs w:val="22"/>
        </w:rPr>
      </w:pPr>
      <w:r w:rsidRPr="00A34324">
        <w:rPr>
          <w:rFonts w:eastAsiaTheme="minorEastAsia"/>
          <w:b/>
          <w:bCs/>
          <w:sz w:val="22"/>
          <w:szCs w:val="22"/>
        </w:rPr>
        <w:t xml:space="preserve">The </w:t>
      </w:r>
      <w:r w:rsidR="00A34324" w:rsidRPr="00A34324">
        <w:rPr>
          <w:rFonts w:eastAsiaTheme="minorEastAsia"/>
          <w:b/>
          <w:bCs/>
          <w:sz w:val="22"/>
          <w:szCs w:val="22"/>
        </w:rPr>
        <w:t xml:space="preserve">Focus of our Funding. </w:t>
      </w:r>
    </w:p>
    <w:p w14:paraId="5DF6DE6E" w14:textId="77777777" w:rsidR="009F3261" w:rsidRDefault="00D331FE" w:rsidP="001C6F30">
      <w:pPr>
        <w:rPr>
          <w:rFonts w:eastAsiaTheme="minorEastAsia"/>
          <w:sz w:val="22"/>
          <w:szCs w:val="22"/>
        </w:rPr>
      </w:pPr>
      <w:r w:rsidRPr="00D331FE">
        <w:rPr>
          <w:sz w:val="22"/>
          <w:szCs w:val="22"/>
        </w:rPr>
        <w:t xml:space="preserve">The UK </w:t>
      </w:r>
      <w:r w:rsidR="00010FA0">
        <w:rPr>
          <w:sz w:val="22"/>
          <w:szCs w:val="22"/>
        </w:rPr>
        <w:t>ha</w:t>
      </w:r>
      <w:r w:rsidRPr="00D331FE">
        <w:rPr>
          <w:sz w:val="22"/>
          <w:szCs w:val="22"/>
        </w:rPr>
        <w:t xml:space="preserve">s </w:t>
      </w:r>
      <w:r w:rsidR="00426405" w:rsidRPr="00090E67">
        <w:rPr>
          <w:sz w:val="22"/>
          <w:szCs w:val="22"/>
        </w:rPr>
        <w:t xml:space="preserve">historically </w:t>
      </w:r>
      <w:r w:rsidR="00010FA0">
        <w:rPr>
          <w:sz w:val="22"/>
          <w:szCs w:val="22"/>
        </w:rPr>
        <w:t>championed</w:t>
      </w:r>
      <w:r w:rsidR="00426405" w:rsidRPr="00090E67">
        <w:rPr>
          <w:sz w:val="22"/>
          <w:szCs w:val="22"/>
        </w:rPr>
        <w:t xml:space="preserve"> neoliberal economics, yet</w:t>
      </w:r>
      <w:r w:rsidRPr="00D331FE">
        <w:rPr>
          <w:sz w:val="22"/>
          <w:szCs w:val="22"/>
        </w:rPr>
        <w:t xml:space="preserve"> </w:t>
      </w:r>
      <w:r w:rsidR="00010FA0">
        <w:rPr>
          <w:sz w:val="22"/>
          <w:szCs w:val="22"/>
        </w:rPr>
        <w:t xml:space="preserve">it </w:t>
      </w:r>
      <w:r w:rsidRPr="00D331FE">
        <w:rPr>
          <w:sz w:val="22"/>
          <w:szCs w:val="22"/>
        </w:rPr>
        <w:t xml:space="preserve">is </w:t>
      </w:r>
      <w:r w:rsidR="00010FA0">
        <w:rPr>
          <w:sz w:val="22"/>
          <w:szCs w:val="22"/>
        </w:rPr>
        <w:t xml:space="preserve">also </w:t>
      </w:r>
      <w:r w:rsidRPr="00D331FE">
        <w:rPr>
          <w:sz w:val="22"/>
          <w:szCs w:val="22"/>
        </w:rPr>
        <w:t xml:space="preserve">home to a </w:t>
      </w:r>
      <w:r w:rsidR="00426405" w:rsidRPr="00090E67">
        <w:rPr>
          <w:sz w:val="22"/>
          <w:szCs w:val="22"/>
        </w:rPr>
        <w:t>vibrant</w:t>
      </w:r>
      <w:r w:rsidRPr="00D331FE">
        <w:rPr>
          <w:sz w:val="22"/>
          <w:szCs w:val="22"/>
        </w:rPr>
        <w:t xml:space="preserve"> community of new</w:t>
      </w:r>
      <w:r w:rsidR="00426405" w:rsidRPr="00090E67">
        <w:rPr>
          <w:sz w:val="22"/>
          <w:szCs w:val="22"/>
        </w:rPr>
        <w:t xml:space="preserve"> economic thought and practice.</w:t>
      </w:r>
      <w:r w:rsidRPr="00D331FE">
        <w:rPr>
          <w:sz w:val="22"/>
          <w:szCs w:val="22"/>
        </w:rPr>
        <w:t xml:space="preserve"> </w:t>
      </w:r>
      <w:r w:rsidR="001C6F30" w:rsidRPr="001C6F30">
        <w:rPr>
          <w:rFonts w:eastAsiaTheme="minorEastAsia"/>
          <w:sz w:val="22"/>
          <w:szCs w:val="22"/>
        </w:rPr>
        <w:t xml:space="preserve">While interest in economic systems change is growing in the UK, the infrastructure supporting this work remains </w:t>
      </w:r>
      <w:r w:rsidR="009F3261">
        <w:rPr>
          <w:rFonts w:eastAsiaTheme="minorEastAsia"/>
          <w:sz w:val="22"/>
          <w:szCs w:val="22"/>
        </w:rPr>
        <w:t>weak</w:t>
      </w:r>
      <w:r w:rsidR="001C6F30" w:rsidRPr="001C6F30">
        <w:rPr>
          <w:rFonts w:eastAsiaTheme="minorEastAsia"/>
          <w:sz w:val="22"/>
          <w:szCs w:val="22"/>
        </w:rPr>
        <w:t>. Many of the organisations driving this agenda are</w:t>
      </w:r>
      <w:r w:rsidR="00507B23" w:rsidRPr="00D331FE">
        <w:rPr>
          <w:rFonts w:eastAsiaTheme="minorEastAsia"/>
          <w:sz w:val="22"/>
          <w:szCs w:val="22"/>
        </w:rPr>
        <w:t xml:space="preserve"> </w:t>
      </w:r>
      <w:r w:rsidR="001C6F30" w:rsidRPr="001C6F30">
        <w:rPr>
          <w:rFonts w:eastAsiaTheme="minorEastAsia"/>
          <w:sz w:val="22"/>
          <w:szCs w:val="22"/>
        </w:rPr>
        <w:t xml:space="preserve">underfunded, and overstretched. </w:t>
      </w:r>
    </w:p>
    <w:p w14:paraId="388B78FB" w14:textId="61E3F4D6" w:rsidR="001C6F30" w:rsidRPr="001C6F30" w:rsidRDefault="001C6F30" w:rsidP="001C6F30">
      <w:pPr>
        <w:rPr>
          <w:rFonts w:eastAsiaTheme="minorEastAsia"/>
          <w:sz w:val="22"/>
          <w:szCs w:val="22"/>
        </w:rPr>
      </w:pPr>
      <w:r w:rsidRPr="001C6F30">
        <w:rPr>
          <w:rFonts w:eastAsiaTheme="minorEastAsia"/>
          <w:sz w:val="22"/>
          <w:szCs w:val="22"/>
        </w:rPr>
        <w:t>Despite their influence</w:t>
      </w:r>
      <w:r w:rsidR="009677E5" w:rsidRPr="00D331FE">
        <w:rPr>
          <w:rFonts w:eastAsiaTheme="minorEastAsia"/>
          <w:sz w:val="22"/>
          <w:szCs w:val="22"/>
        </w:rPr>
        <w:t xml:space="preserve"> (p</w:t>
      </w:r>
      <w:r w:rsidRPr="001C6F30">
        <w:rPr>
          <w:rFonts w:eastAsiaTheme="minorEastAsia"/>
          <w:sz w:val="22"/>
          <w:szCs w:val="22"/>
        </w:rPr>
        <w:t>articularly in the UK, which is home to a disproportionate number of Europe's new economy actors</w:t>
      </w:r>
      <w:r w:rsidR="009677E5" w:rsidRPr="00D331FE">
        <w:rPr>
          <w:rFonts w:eastAsiaTheme="minorEastAsia"/>
          <w:sz w:val="22"/>
          <w:szCs w:val="22"/>
        </w:rPr>
        <w:t xml:space="preserve">) </w:t>
      </w:r>
      <w:r w:rsidRPr="001C6F30">
        <w:rPr>
          <w:rFonts w:eastAsiaTheme="minorEastAsia"/>
          <w:sz w:val="22"/>
          <w:szCs w:val="22"/>
        </w:rPr>
        <w:t>these organisations often lack the stable, flexible support required to build long-term capacity, collaborate effectively, and scale their impact.</w:t>
      </w:r>
      <w:r w:rsidR="00CE3E33" w:rsidRPr="00D331FE">
        <w:rPr>
          <w:rFonts w:eastAsiaTheme="minorEastAsia"/>
          <w:sz w:val="22"/>
          <w:szCs w:val="22"/>
        </w:rPr>
        <w:t xml:space="preserve"> </w:t>
      </w:r>
      <w:r w:rsidRPr="001C6F30">
        <w:rPr>
          <w:rFonts w:eastAsiaTheme="minorEastAsia"/>
          <w:sz w:val="22"/>
          <w:szCs w:val="22"/>
        </w:rPr>
        <w:t xml:space="preserve">If </w:t>
      </w:r>
      <w:r w:rsidR="0004697A">
        <w:rPr>
          <w:rFonts w:eastAsiaTheme="minorEastAsia"/>
          <w:sz w:val="22"/>
          <w:szCs w:val="22"/>
        </w:rPr>
        <w:t>they</w:t>
      </w:r>
      <w:r w:rsidRPr="001C6F30">
        <w:rPr>
          <w:rFonts w:eastAsiaTheme="minorEastAsia"/>
          <w:sz w:val="22"/>
          <w:szCs w:val="22"/>
        </w:rPr>
        <w:t xml:space="preserve"> are to evolve into enduring, influential institutions capable of shaping mainstream debates and policies, they need </w:t>
      </w:r>
      <w:r w:rsidR="00516413" w:rsidRPr="00D331FE">
        <w:rPr>
          <w:rFonts w:eastAsiaTheme="minorEastAsia"/>
          <w:sz w:val="22"/>
          <w:szCs w:val="22"/>
        </w:rPr>
        <w:t xml:space="preserve">flexible </w:t>
      </w:r>
      <w:r w:rsidRPr="001C6F30">
        <w:rPr>
          <w:rFonts w:eastAsiaTheme="minorEastAsia"/>
          <w:sz w:val="22"/>
          <w:szCs w:val="22"/>
        </w:rPr>
        <w:t>core support.</w:t>
      </w:r>
    </w:p>
    <w:p w14:paraId="59AD10BF" w14:textId="0AABFC41" w:rsidR="001C6F30" w:rsidRPr="001C6F30" w:rsidRDefault="003E66A9" w:rsidP="001C6F30">
      <w:pPr>
        <w:rPr>
          <w:rFonts w:eastAsiaTheme="minorEastAsia"/>
          <w:sz w:val="22"/>
          <w:szCs w:val="22"/>
        </w:rPr>
      </w:pPr>
      <w:r w:rsidRPr="331876BC">
        <w:rPr>
          <w:rFonts w:eastAsiaTheme="minorEastAsia"/>
          <w:sz w:val="22"/>
          <w:szCs w:val="22"/>
        </w:rPr>
        <w:t>As one of only a few funders in the new economy space we recognise the need to retain our commitment to working with these organisations on a long-term basis and, where possible, to pull in additional resources to support them.</w:t>
      </w:r>
    </w:p>
    <w:p w14:paraId="5F6847E0" w14:textId="0134A8E9" w:rsidR="001C6F30" w:rsidRPr="001C6F30" w:rsidRDefault="001C6F30" w:rsidP="001C6F30">
      <w:pPr>
        <w:rPr>
          <w:rFonts w:eastAsiaTheme="minorEastAsia"/>
          <w:sz w:val="22"/>
          <w:szCs w:val="22"/>
        </w:rPr>
      </w:pPr>
      <w:r w:rsidRPr="001C6F30">
        <w:rPr>
          <w:rFonts w:eastAsiaTheme="minorEastAsia"/>
          <w:sz w:val="22"/>
          <w:szCs w:val="22"/>
        </w:rPr>
        <w:lastRenderedPageBreak/>
        <w:t>This strand is designed to support key or anchor organisations that are central to the infrastructure of the new economy movement and have the potential to drive systemic change.</w:t>
      </w:r>
    </w:p>
    <w:p w14:paraId="7DC4A4B0" w14:textId="0AE7E5CE" w:rsidR="009174FE" w:rsidRPr="009174FE" w:rsidRDefault="00DD344A" w:rsidP="009174FE">
      <w:pPr>
        <w:rPr>
          <w:rFonts w:eastAsiaTheme="minorEastAsia"/>
          <w:b/>
          <w:bCs/>
          <w:sz w:val="22"/>
          <w:szCs w:val="22"/>
        </w:rPr>
      </w:pPr>
      <w:r>
        <w:rPr>
          <w:rFonts w:eastAsiaTheme="minorEastAsia"/>
          <w:b/>
          <w:bCs/>
          <w:sz w:val="22"/>
          <w:szCs w:val="22"/>
        </w:rPr>
        <w:t>Funding</w:t>
      </w:r>
      <w:r w:rsidR="009174FE" w:rsidRPr="009174FE">
        <w:rPr>
          <w:rFonts w:eastAsiaTheme="minorEastAsia"/>
          <w:b/>
          <w:bCs/>
          <w:sz w:val="22"/>
          <w:szCs w:val="22"/>
        </w:rPr>
        <w:t xml:space="preserve"> Approach</w:t>
      </w:r>
    </w:p>
    <w:p w14:paraId="7BEEFF13" w14:textId="05541198" w:rsidR="009174FE" w:rsidRDefault="009174FE" w:rsidP="009174FE">
      <w:pPr>
        <w:rPr>
          <w:rFonts w:eastAsiaTheme="minorEastAsia"/>
          <w:sz w:val="22"/>
          <w:szCs w:val="22"/>
        </w:rPr>
      </w:pPr>
      <w:r w:rsidRPr="009174FE">
        <w:rPr>
          <w:rFonts w:eastAsiaTheme="minorEastAsia"/>
          <w:sz w:val="22"/>
          <w:szCs w:val="22"/>
        </w:rPr>
        <w:t xml:space="preserve">This </w:t>
      </w:r>
      <w:r>
        <w:rPr>
          <w:rFonts w:eastAsiaTheme="minorEastAsia"/>
          <w:sz w:val="22"/>
          <w:szCs w:val="22"/>
        </w:rPr>
        <w:t xml:space="preserve">funding stream will open in May 2025 and close for applications in September 2027. </w:t>
      </w:r>
      <w:r w:rsidRPr="009174FE">
        <w:rPr>
          <w:rFonts w:eastAsiaTheme="minorEastAsia"/>
          <w:sz w:val="22"/>
          <w:szCs w:val="22"/>
        </w:rPr>
        <w:t xml:space="preserve"> </w:t>
      </w:r>
      <w:r w:rsidR="002B240B">
        <w:rPr>
          <w:rFonts w:eastAsiaTheme="minorEastAsia"/>
          <w:sz w:val="22"/>
          <w:szCs w:val="22"/>
        </w:rPr>
        <w:t xml:space="preserve">It involves a two stage application process as outlined here: </w:t>
      </w:r>
      <w:hyperlink r:id="rId9" w:history="1">
        <w:r w:rsidR="00DD344A" w:rsidRPr="00F544B8">
          <w:rPr>
            <w:rStyle w:val="Hyperlink"/>
            <w:rFonts w:eastAsiaTheme="minorEastAsia"/>
            <w:sz w:val="22"/>
            <w:szCs w:val="22"/>
          </w:rPr>
          <w:t>https://friendsprovidentfoundation.org/grants/how-to-apply/</w:t>
        </w:r>
      </w:hyperlink>
      <w:r w:rsidR="00DD344A">
        <w:rPr>
          <w:rFonts w:eastAsiaTheme="minorEastAsia"/>
          <w:sz w:val="22"/>
          <w:szCs w:val="22"/>
        </w:rPr>
        <w:t xml:space="preserve"> </w:t>
      </w:r>
    </w:p>
    <w:p w14:paraId="59DB3E8A" w14:textId="77777777" w:rsidR="00871873" w:rsidRDefault="002B240B" w:rsidP="00871873">
      <w:pPr>
        <w:pStyle w:val="ListParagraph"/>
        <w:numPr>
          <w:ilvl w:val="0"/>
          <w:numId w:val="11"/>
        </w:numPr>
        <w:rPr>
          <w:rFonts w:eastAsiaTheme="minorEastAsia"/>
          <w:sz w:val="22"/>
          <w:szCs w:val="22"/>
        </w:rPr>
      </w:pPr>
      <w:r w:rsidRPr="00871873">
        <w:rPr>
          <w:rFonts w:eastAsiaTheme="minorEastAsia"/>
          <w:sz w:val="22"/>
          <w:szCs w:val="22"/>
        </w:rPr>
        <w:t xml:space="preserve">Funding will be unrestricted by default unless there are reasons why we need to place some limits around our </w:t>
      </w:r>
      <w:r w:rsidR="00576013" w:rsidRPr="00871873">
        <w:rPr>
          <w:rFonts w:eastAsiaTheme="minorEastAsia"/>
          <w:sz w:val="22"/>
          <w:szCs w:val="22"/>
        </w:rPr>
        <w:t>grant (e.g. for organisations who also work outside the UK)</w:t>
      </w:r>
    </w:p>
    <w:p w14:paraId="0A037025" w14:textId="4010A6C9" w:rsidR="002B240B" w:rsidRPr="00871873" w:rsidRDefault="00576013" w:rsidP="00871873">
      <w:pPr>
        <w:pStyle w:val="ListParagraph"/>
        <w:numPr>
          <w:ilvl w:val="0"/>
          <w:numId w:val="11"/>
        </w:numPr>
        <w:rPr>
          <w:rFonts w:eastAsiaTheme="minorEastAsia"/>
          <w:sz w:val="22"/>
          <w:szCs w:val="22"/>
        </w:rPr>
      </w:pPr>
      <w:r w:rsidRPr="00871873">
        <w:rPr>
          <w:rFonts w:eastAsiaTheme="minorEastAsia"/>
          <w:sz w:val="22"/>
          <w:szCs w:val="22"/>
        </w:rPr>
        <w:t xml:space="preserve">Applications can be made for up to five years but we would anticipate the average grant size being between £80,000-£100,000 over two years. </w:t>
      </w:r>
    </w:p>
    <w:p w14:paraId="3E9A4A12" w14:textId="6CFBA4F1" w:rsidR="001C6F30" w:rsidRPr="001C6F30" w:rsidRDefault="001C6F30" w:rsidP="001C6F30">
      <w:pPr>
        <w:rPr>
          <w:rFonts w:eastAsiaTheme="minorEastAsia"/>
          <w:b/>
          <w:bCs/>
          <w:sz w:val="22"/>
          <w:szCs w:val="22"/>
        </w:rPr>
      </w:pPr>
      <w:r w:rsidRPr="001C6F30">
        <w:rPr>
          <w:rFonts w:eastAsiaTheme="minorEastAsia"/>
          <w:b/>
          <w:bCs/>
          <w:sz w:val="22"/>
          <w:szCs w:val="22"/>
        </w:rPr>
        <w:t>Criteria for Support</w:t>
      </w:r>
    </w:p>
    <w:p w14:paraId="3939F613" w14:textId="33EF17B3" w:rsidR="00C90FDD" w:rsidRDefault="00871873" w:rsidP="00C90FDD">
      <w:pPr>
        <w:rPr>
          <w:rFonts w:eastAsiaTheme="minorEastAsia"/>
          <w:sz w:val="22"/>
          <w:szCs w:val="22"/>
        </w:rPr>
      </w:pPr>
      <w:r>
        <w:rPr>
          <w:rFonts w:eastAsiaTheme="minorEastAsia"/>
          <w:sz w:val="22"/>
          <w:szCs w:val="22"/>
        </w:rPr>
        <w:t>We are looking to support organisations that</w:t>
      </w:r>
      <w:r w:rsidR="00C90FDD" w:rsidRPr="00C90FDD">
        <w:rPr>
          <w:rFonts w:eastAsiaTheme="minorEastAsia"/>
          <w:sz w:val="22"/>
          <w:szCs w:val="22"/>
        </w:rPr>
        <w:t>:</w:t>
      </w:r>
    </w:p>
    <w:p w14:paraId="03DC5616" w14:textId="7AE4DE88" w:rsidR="001C6F30" w:rsidRPr="001C6F30" w:rsidRDefault="001C6F30" w:rsidP="001C6F30">
      <w:pPr>
        <w:numPr>
          <w:ilvl w:val="0"/>
          <w:numId w:val="10"/>
        </w:numPr>
        <w:rPr>
          <w:rFonts w:eastAsiaTheme="minorEastAsia"/>
          <w:sz w:val="22"/>
          <w:szCs w:val="22"/>
        </w:rPr>
      </w:pPr>
      <w:r w:rsidRPr="001C6F30">
        <w:rPr>
          <w:rFonts w:eastAsiaTheme="minorEastAsia"/>
          <w:b/>
          <w:bCs/>
          <w:sz w:val="22"/>
          <w:szCs w:val="22"/>
        </w:rPr>
        <w:t>Demonstrate strong strategic alignment</w:t>
      </w:r>
      <w:r w:rsidRPr="001C6F30">
        <w:rPr>
          <w:rFonts w:eastAsiaTheme="minorEastAsia"/>
          <w:sz w:val="22"/>
          <w:szCs w:val="22"/>
        </w:rPr>
        <w:t xml:space="preserve"> with the mission and funding priorities of Friends Provident Foundation.</w:t>
      </w:r>
    </w:p>
    <w:p w14:paraId="36DF4869" w14:textId="7777FD9B" w:rsidR="001C6F30" w:rsidRPr="001C6F30" w:rsidRDefault="001C6F30" w:rsidP="001C6F30">
      <w:pPr>
        <w:numPr>
          <w:ilvl w:val="0"/>
          <w:numId w:val="10"/>
        </w:numPr>
        <w:rPr>
          <w:rFonts w:eastAsiaTheme="minorEastAsia"/>
          <w:sz w:val="22"/>
          <w:szCs w:val="22"/>
        </w:rPr>
      </w:pPr>
      <w:r w:rsidRPr="001C6F30">
        <w:rPr>
          <w:rFonts w:eastAsiaTheme="minorEastAsia"/>
          <w:b/>
          <w:bCs/>
          <w:sz w:val="22"/>
          <w:szCs w:val="22"/>
        </w:rPr>
        <w:t>Have a</w:t>
      </w:r>
      <w:r w:rsidR="0005131A">
        <w:rPr>
          <w:rFonts w:eastAsiaTheme="minorEastAsia"/>
          <w:b/>
          <w:bCs/>
          <w:sz w:val="22"/>
          <w:szCs w:val="22"/>
        </w:rPr>
        <w:t xml:space="preserve">n explicit </w:t>
      </w:r>
      <w:r w:rsidRPr="001C6F30">
        <w:rPr>
          <w:rFonts w:eastAsiaTheme="minorEastAsia"/>
          <w:b/>
          <w:bCs/>
          <w:sz w:val="22"/>
          <w:szCs w:val="22"/>
        </w:rPr>
        <w:t>primary focus on economic systems change</w:t>
      </w:r>
      <w:r w:rsidR="007A56EE">
        <w:rPr>
          <w:rFonts w:eastAsiaTheme="minorEastAsia"/>
          <w:sz w:val="22"/>
          <w:szCs w:val="22"/>
        </w:rPr>
        <w:t xml:space="preserve">: that is </w:t>
      </w:r>
      <w:r w:rsidRPr="001C6F30">
        <w:rPr>
          <w:rFonts w:eastAsiaTheme="minorEastAsia"/>
          <w:sz w:val="22"/>
          <w:szCs w:val="22"/>
        </w:rPr>
        <w:t>organisations whose core work is about rethinking and reshaping economic structure</w:t>
      </w:r>
      <w:r w:rsidR="00843B8A">
        <w:rPr>
          <w:rFonts w:eastAsiaTheme="minorEastAsia"/>
          <w:sz w:val="22"/>
          <w:szCs w:val="22"/>
        </w:rPr>
        <w:t xml:space="preserve">s, </w:t>
      </w:r>
      <w:r w:rsidRPr="001C6F30">
        <w:rPr>
          <w:rFonts w:eastAsiaTheme="minorEastAsia"/>
          <w:sz w:val="22"/>
          <w:szCs w:val="22"/>
        </w:rPr>
        <w:t xml:space="preserve">rather than those working primarily in other policy </w:t>
      </w:r>
      <w:r w:rsidR="00843B8A">
        <w:rPr>
          <w:rFonts w:eastAsiaTheme="minorEastAsia"/>
          <w:sz w:val="22"/>
          <w:szCs w:val="22"/>
        </w:rPr>
        <w:t>areas</w:t>
      </w:r>
      <w:r w:rsidRPr="001C6F30">
        <w:rPr>
          <w:rFonts w:eastAsiaTheme="minorEastAsia"/>
          <w:sz w:val="22"/>
          <w:szCs w:val="22"/>
        </w:rPr>
        <w:t xml:space="preserve"> (such as food, energy, or skills) that intersect with economic themes.</w:t>
      </w:r>
    </w:p>
    <w:p w14:paraId="1E69D79D" w14:textId="77777777" w:rsidR="00E171DE" w:rsidRDefault="001C6F30" w:rsidP="00E171DE">
      <w:pPr>
        <w:numPr>
          <w:ilvl w:val="0"/>
          <w:numId w:val="10"/>
        </w:numPr>
        <w:rPr>
          <w:rFonts w:eastAsiaTheme="minorEastAsia"/>
          <w:sz w:val="22"/>
          <w:szCs w:val="22"/>
        </w:rPr>
      </w:pPr>
      <w:r w:rsidRPr="001C6F30">
        <w:rPr>
          <w:rFonts w:eastAsiaTheme="minorEastAsia"/>
          <w:b/>
          <w:bCs/>
          <w:sz w:val="22"/>
          <w:szCs w:val="22"/>
        </w:rPr>
        <w:t>Offer a compelling, long-term vision</w:t>
      </w:r>
      <w:r w:rsidRPr="001C6F30">
        <w:rPr>
          <w:rFonts w:eastAsiaTheme="minorEastAsia"/>
          <w:sz w:val="22"/>
          <w:szCs w:val="22"/>
        </w:rPr>
        <w:t xml:space="preserve"> for a fairer, more sustainable economy. We are especially interested in organisations that generate </w:t>
      </w:r>
      <w:r w:rsidR="00E42808">
        <w:rPr>
          <w:rFonts w:eastAsiaTheme="minorEastAsia"/>
          <w:sz w:val="22"/>
          <w:szCs w:val="22"/>
        </w:rPr>
        <w:t>positive</w:t>
      </w:r>
      <w:r w:rsidRPr="001C6F30">
        <w:rPr>
          <w:rFonts w:eastAsiaTheme="minorEastAsia"/>
          <w:sz w:val="22"/>
          <w:szCs w:val="22"/>
        </w:rPr>
        <w:t>, forward-looking ideas and alternatives, rather than solely highlighting problems.</w:t>
      </w:r>
    </w:p>
    <w:p w14:paraId="1B75EFE3" w14:textId="4A905717" w:rsidR="00D50841" w:rsidRPr="00E171DE" w:rsidRDefault="001C6F30" w:rsidP="00E171DE">
      <w:pPr>
        <w:numPr>
          <w:ilvl w:val="0"/>
          <w:numId w:val="10"/>
        </w:numPr>
        <w:rPr>
          <w:rFonts w:eastAsiaTheme="minorEastAsia"/>
          <w:sz w:val="22"/>
          <w:szCs w:val="22"/>
        </w:rPr>
      </w:pPr>
      <w:r w:rsidRPr="00E171DE">
        <w:rPr>
          <w:rFonts w:eastAsiaTheme="minorEastAsia"/>
          <w:b/>
          <w:bCs/>
          <w:sz w:val="22"/>
          <w:szCs w:val="22"/>
        </w:rPr>
        <w:t>Work systemically and at root-cause level</w:t>
      </w:r>
      <w:r w:rsidRPr="00E171DE">
        <w:rPr>
          <w:rFonts w:eastAsiaTheme="minorEastAsia"/>
          <w:sz w:val="22"/>
          <w:szCs w:val="22"/>
        </w:rPr>
        <w:t>. We support efforts that address the deeper structural drivers of inequality and unsustainabilit</w:t>
      </w:r>
      <w:r w:rsidR="001A597E" w:rsidRPr="00E171DE">
        <w:rPr>
          <w:rFonts w:eastAsiaTheme="minorEastAsia"/>
          <w:sz w:val="22"/>
          <w:szCs w:val="22"/>
        </w:rPr>
        <w:t>y</w:t>
      </w:r>
      <w:r w:rsidR="00A01FC3" w:rsidRPr="00E171DE">
        <w:rPr>
          <w:rFonts w:eastAsiaTheme="minorEastAsia"/>
          <w:sz w:val="22"/>
          <w:szCs w:val="22"/>
        </w:rPr>
        <w:t xml:space="preserve"> and move </w:t>
      </w:r>
      <w:r w:rsidR="008624CD" w:rsidRPr="00E171DE">
        <w:rPr>
          <w:rFonts w:eastAsiaTheme="minorEastAsia"/>
          <w:sz w:val="22"/>
          <w:szCs w:val="22"/>
        </w:rPr>
        <w:t xml:space="preserve">beyond the short term thinking that has caused many of the issues we face. </w:t>
      </w:r>
      <w:r w:rsidR="0005394A" w:rsidRPr="00E171DE">
        <w:rPr>
          <w:rFonts w:eastAsiaTheme="minorEastAsia"/>
          <w:sz w:val="22"/>
          <w:szCs w:val="22"/>
        </w:rPr>
        <w:t xml:space="preserve">Our focus should be on the root causes of </w:t>
      </w:r>
      <w:r w:rsidR="00D50841" w:rsidRPr="00E171DE">
        <w:rPr>
          <w:rFonts w:eastAsiaTheme="minorEastAsia"/>
          <w:sz w:val="22"/>
          <w:szCs w:val="22"/>
        </w:rPr>
        <w:t xml:space="preserve">economic issues, </w:t>
      </w:r>
      <w:r w:rsidRPr="00E171DE">
        <w:rPr>
          <w:rFonts w:eastAsiaTheme="minorEastAsia"/>
          <w:sz w:val="22"/>
          <w:szCs w:val="22"/>
        </w:rPr>
        <w:t>such as fiscal frameworks, ownership models, power imbalances, and the architecture of financial system</w:t>
      </w:r>
      <w:r w:rsidR="00D50841" w:rsidRPr="00E171DE">
        <w:rPr>
          <w:rFonts w:eastAsiaTheme="minorEastAsia"/>
          <w:sz w:val="22"/>
          <w:szCs w:val="22"/>
        </w:rPr>
        <w:t xml:space="preserve">, </w:t>
      </w:r>
      <w:r w:rsidRPr="00E171DE">
        <w:rPr>
          <w:rFonts w:eastAsiaTheme="minorEastAsia"/>
          <w:sz w:val="22"/>
          <w:szCs w:val="22"/>
        </w:rPr>
        <w:t xml:space="preserve">rather than those focused on treating symptoms with short-term </w:t>
      </w:r>
      <w:r w:rsidR="0005131A" w:rsidRPr="00E171DE">
        <w:rPr>
          <w:rFonts w:eastAsiaTheme="minorEastAsia"/>
          <w:sz w:val="22"/>
          <w:szCs w:val="22"/>
        </w:rPr>
        <w:t xml:space="preserve">incremental </w:t>
      </w:r>
      <w:r w:rsidR="00D50841" w:rsidRPr="00E171DE">
        <w:rPr>
          <w:rFonts w:eastAsiaTheme="minorEastAsia"/>
          <w:sz w:val="22"/>
          <w:szCs w:val="22"/>
        </w:rPr>
        <w:t>fixes.</w:t>
      </w:r>
    </w:p>
    <w:p w14:paraId="7BFCEC8B" w14:textId="070B8788" w:rsidR="001C6F30" w:rsidRDefault="001C6F30" w:rsidP="001C6F30">
      <w:pPr>
        <w:numPr>
          <w:ilvl w:val="0"/>
          <w:numId w:val="10"/>
        </w:numPr>
        <w:rPr>
          <w:rFonts w:eastAsiaTheme="minorEastAsia"/>
          <w:sz w:val="22"/>
          <w:szCs w:val="22"/>
        </w:rPr>
      </w:pPr>
      <w:r w:rsidRPr="001C6F30">
        <w:rPr>
          <w:rFonts w:eastAsiaTheme="minorEastAsia"/>
          <w:b/>
          <w:bCs/>
          <w:sz w:val="22"/>
          <w:szCs w:val="22"/>
        </w:rPr>
        <w:t>Demonstrate contextual awareness and a collaborative, intersectional approach</w:t>
      </w:r>
      <w:r w:rsidRPr="001C6F30">
        <w:rPr>
          <w:rFonts w:eastAsiaTheme="minorEastAsia"/>
          <w:sz w:val="22"/>
          <w:szCs w:val="22"/>
        </w:rPr>
        <w:t>. Transformational economic change is not achieved in silos. We want to work with organisations that see their role within a broader ecosystem and engage in building bridges across sectors, disciplines, and communities</w:t>
      </w:r>
      <w:r w:rsidR="00724D75">
        <w:rPr>
          <w:rFonts w:eastAsiaTheme="minorEastAsia"/>
          <w:sz w:val="22"/>
          <w:szCs w:val="22"/>
        </w:rPr>
        <w:t>, with a</w:t>
      </w:r>
      <w:r w:rsidR="001F195D">
        <w:rPr>
          <w:rFonts w:eastAsiaTheme="minorEastAsia"/>
          <w:sz w:val="22"/>
          <w:szCs w:val="22"/>
        </w:rPr>
        <w:t xml:space="preserve"> particular</w:t>
      </w:r>
      <w:r w:rsidR="00724D75">
        <w:rPr>
          <w:rFonts w:eastAsiaTheme="minorEastAsia"/>
          <w:sz w:val="22"/>
          <w:szCs w:val="22"/>
        </w:rPr>
        <w:t xml:space="preserve"> focus on those most impacted by the </w:t>
      </w:r>
      <w:r w:rsidR="00D331FE">
        <w:rPr>
          <w:rFonts w:eastAsiaTheme="minorEastAsia"/>
          <w:sz w:val="22"/>
          <w:szCs w:val="22"/>
        </w:rPr>
        <w:t xml:space="preserve">dysfunctions of our economic system. </w:t>
      </w:r>
    </w:p>
    <w:p w14:paraId="22DEBFD7" w14:textId="77777777" w:rsidR="00090E67" w:rsidRDefault="00090E67"/>
    <w:p w14:paraId="242AA408" w14:textId="77777777" w:rsidR="001F195D" w:rsidRDefault="001F195D"/>
    <w:p w14:paraId="401F2221" w14:textId="77777777" w:rsidR="001F195D" w:rsidRDefault="001F195D"/>
    <w:sectPr w:rsidR="001F195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1661E" w14:textId="77777777" w:rsidR="00E83E18" w:rsidRDefault="00E83E18">
      <w:pPr>
        <w:spacing w:after="0" w:line="240" w:lineRule="auto"/>
      </w:pPr>
      <w:r>
        <w:separator/>
      </w:r>
    </w:p>
  </w:endnote>
  <w:endnote w:type="continuationSeparator" w:id="0">
    <w:p w14:paraId="007EE389" w14:textId="77777777" w:rsidR="00E83E18" w:rsidRDefault="00E8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34C56EE" w14:paraId="08318C70" w14:textId="77777777" w:rsidTr="634C56EE">
      <w:trPr>
        <w:trHeight w:val="300"/>
      </w:trPr>
      <w:tc>
        <w:tcPr>
          <w:tcW w:w="3005" w:type="dxa"/>
        </w:tcPr>
        <w:p w14:paraId="245AC3B5" w14:textId="6B3DEA8E" w:rsidR="634C56EE" w:rsidRDefault="634C56EE" w:rsidP="634C56EE">
          <w:pPr>
            <w:pStyle w:val="Header"/>
            <w:ind w:left="-115"/>
          </w:pPr>
        </w:p>
      </w:tc>
      <w:tc>
        <w:tcPr>
          <w:tcW w:w="3005" w:type="dxa"/>
        </w:tcPr>
        <w:p w14:paraId="528C684A" w14:textId="2B2C86CA" w:rsidR="634C56EE" w:rsidRDefault="634C56EE" w:rsidP="634C56EE">
          <w:pPr>
            <w:pStyle w:val="Header"/>
            <w:jc w:val="center"/>
          </w:pPr>
        </w:p>
      </w:tc>
      <w:tc>
        <w:tcPr>
          <w:tcW w:w="3005" w:type="dxa"/>
        </w:tcPr>
        <w:p w14:paraId="6C7FE8D1" w14:textId="05CBC88D" w:rsidR="634C56EE" w:rsidRDefault="634C56EE" w:rsidP="634C56EE">
          <w:pPr>
            <w:pStyle w:val="Header"/>
            <w:ind w:right="-115"/>
            <w:jc w:val="right"/>
          </w:pPr>
        </w:p>
      </w:tc>
    </w:tr>
  </w:tbl>
  <w:p w14:paraId="34C54775" w14:textId="6A1A10AB" w:rsidR="634C56EE" w:rsidRDefault="634C56EE" w:rsidP="634C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0D72" w14:textId="77777777" w:rsidR="00E83E18" w:rsidRDefault="00E83E18">
      <w:pPr>
        <w:spacing w:after="0" w:line="240" w:lineRule="auto"/>
      </w:pPr>
      <w:r>
        <w:separator/>
      </w:r>
    </w:p>
  </w:footnote>
  <w:footnote w:type="continuationSeparator" w:id="0">
    <w:p w14:paraId="7D380D87" w14:textId="77777777" w:rsidR="00E83E18" w:rsidRDefault="00E83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34C56EE" w14:paraId="55EBD626" w14:textId="77777777" w:rsidTr="634C56EE">
      <w:trPr>
        <w:trHeight w:val="300"/>
      </w:trPr>
      <w:tc>
        <w:tcPr>
          <w:tcW w:w="3005" w:type="dxa"/>
        </w:tcPr>
        <w:p w14:paraId="029DB79B" w14:textId="0E4B86B3" w:rsidR="634C56EE" w:rsidRDefault="634C56EE" w:rsidP="634C56EE">
          <w:pPr>
            <w:pStyle w:val="Header"/>
            <w:ind w:left="-115"/>
          </w:pPr>
        </w:p>
      </w:tc>
      <w:tc>
        <w:tcPr>
          <w:tcW w:w="3005" w:type="dxa"/>
        </w:tcPr>
        <w:p w14:paraId="0623E959" w14:textId="3466772C" w:rsidR="634C56EE" w:rsidRDefault="634C56EE" w:rsidP="634C56EE">
          <w:pPr>
            <w:pStyle w:val="Header"/>
            <w:jc w:val="center"/>
          </w:pPr>
        </w:p>
      </w:tc>
      <w:tc>
        <w:tcPr>
          <w:tcW w:w="3005" w:type="dxa"/>
        </w:tcPr>
        <w:p w14:paraId="0846B9E1" w14:textId="47039E07" w:rsidR="634C56EE" w:rsidRDefault="634C56EE" w:rsidP="634C56EE">
          <w:pPr>
            <w:pStyle w:val="Header"/>
            <w:ind w:right="-115"/>
            <w:jc w:val="right"/>
          </w:pPr>
        </w:p>
      </w:tc>
    </w:tr>
  </w:tbl>
  <w:p w14:paraId="3FA310B4" w14:textId="0B8EAD8C" w:rsidR="634C56EE" w:rsidRDefault="634C56EE">
    <w:r>
      <w:rPr>
        <w:noProof/>
      </w:rPr>
      <w:drawing>
        <wp:inline distT="0" distB="0" distL="0" distR="0" wp14:anchorId="69A781AA" wp14:editId="55D9929A">
          <wp:extent cx="1542422" cy="707197"/>
          <wp:effectExtent l="0" t="0" r="0" b="0"/>
          <wp:docPr id="183946177" name="Picture 18394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42422" cy="707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F45D9"/>
    <w:multiLevelType w:val="multilevel"/>
    <w:tmpl w:val="D82C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C0F63"/>
    <w:multiLevelType w:val="hybridMultilevel"/>
    <w:tmpl w:val="057E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51A4F"/>
    <w:multiLevelType w:val="hybridMultilevel"/>
    <w:tmpl w:val="1BBC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C6CC6"/>
    <w:multiLevelType w:val="multilevel"/>
    <w:tmpl w:val="856E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CD3F52"/>
    <w:multiLevelType w:val="hybridMultilevel"/>
    <w:tmpl w:val="CD36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B03D3"/>
    <w:multiLevelType w:val="multilevel"/>
    <w:tmpl w:val="C3F6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E55D62"/>
    <w:multiLevelType w:val="hybridMultilevel"/>
    <w:tmpl w:val="5F584024"/>
    <w:lvl w:ilvl="0" w:tplc="A30452D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406D2"/>
    <w:multiLevelType w:val="multilevel"/>
    <w:tmpl w:val="C2B8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F2BCE"/>
    <w:multiLevelType w:val="hybridMultilevel"/>
    <w:tmpl w:val="901C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711F8"/>
    <w:multiLevelType w:val="hybridMultilevel"/>
    <w:tmpl w:val="BC627890"/>
    <w:lvl w:ilvl="0" w:tplc="4558D4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20BD0"/>
    <w:multiLevelType w:val="hybridMultilevel"/>
    <w:tmpl w:val="D2DE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222210">
    <w:abstractNumId w:val="9"/>
  </w:num>
  <w:num w:numId="2" w16cid:durableId="482114775">
    <w:abstractNumId w:val="1"/>
  </w:num>
  <w:num w:numId="3" w16cid:durableId="78797037">
    <w:abstractNumId w:val="4"/>
  </w:num>
  <w:num w:numId="4" w16cid:durableId="1147556309">
    <w:abstractNumId w:val="2"/>
  </w:num>
  <w:num w:numId="5" w16cid:durableId="47800575">
    <w:abstractNumId w:val="10"/>
  </w:num>
  <w:num w:numId="6" w16cid:durableId="385876483">
    <w:abstractNumId w:val="8"/>
  </w:num>
  <w:num w:numId="7" w16cid:durableId="1001156870">
    <w:abstractNumId w:val="5"/>
  </w:num>
  <w:num w:numId="8" w16cid:durableId="1683245414">
    <w:abstractNumId w:val="3"/>
  </w:num>
  <w:num w:numId="9" w16cid:durableId="1763725560">
    <w:abstractNumId w:val="0"/>
  </w:num>
  <w:num w:numId="10" w16cid:durableId="1640988576">
    <w:abstractNumId w:val="7"/>
  </w:num>
  <w:num w:numId="11" w16cid:durableId="603196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30"/>
    <w:rsid w:val="00003980"/>
    <w:rsid w:val="00010FA0"/>
    <w:rsid w:val="0004697A"/>
    <w:rsid w:val="0005131A"/>
    <w:rsid w:val="0005394A"/>
    <w:rsid w:val="000610F6"/>
    <w:rsid w:val="00090E67"/>
    <w:rsid w:val="000D775B"/>
    <w:rsid w:val="00176F92"/>
    <w:rsid w:val="00193723"/>
    <w:rsid w:val="00194D25"/>
    <w:rsid w:val="001A597E"/>
    <w:rsid w:val="001A6A36"/>
    <w:rsid w:val="001A7FC6"/>
    <w:rsid w:val="001C6F30"/>
    <w:rsid w:val="001F195D"/>
    <w:rsid w:val="00211AFA"/>
    <w:rsid w:val="0022549D"/>
    <w:rsid w:val="00254FED"/>
    <w:rsid w:val="002A36F6"/>
    <w:rsid w:val="002B240B"/>
    <w:rsid w:val="003112C6"/>
    <w:rsid w:val="0032BC3A"/>
    <w:rsid w:val="003D1AE7"/>
    <w:rsid w:val="003E15EC"/>
    <w:rsid w:val="003E66A9"/>
    <w:rsid w:val="004074D8"/>
    <w:rsid w:val="00426405"/>
    <w:rsid w:val="00454F5B"/>
    <w:rsid w:val="004B46D8"/>
    <w:rsid w:val="00507B23"/>
    <w:rsid w:val="005109DC"/>
    <w:rsid w:val="00516413"/>
    <w:rsid w:val="00576013"/>
    <w:rsid w:val="0058690A"/>
    <w:rsid w:val="005E7D0E"/>
    <w:rsid w:val="00624B81"/>
    <w:rsid w:val="00652FC3"/>
    <w:rsid w:val="00724D75"/>
    <w:rsid w:val="007A56EE"/>
    <w:rsid w:val="007B670F"/>
    <w:rsid w:val="00843B8A"/>
    <w:rsid w:val="00850737"/>
    <w:rsid w:val="00860023"/>
    <w:rsid w:val="008624CD"/>
    <w:rsid w:val="00871873"/>
    <w:rsid w:val="008A3075"/>
    <w:rsid w:val="008D0225"/>
    <w:rsid w:val="00902576"/>
    <w:rsid w:val="009174FE"/>
    <w:rsid w:val="00961AE3"/>
    <w:rsid w:val="009677E5"/>
    <w:rsid w:val="009732B3"/>
    <w:rsid w:val="009F3261"/>
    <w:rsid w:val="00A01FC3"/>
    <w:rsid w:val="00A1707A"/>
    <w:rsid w:val="00A34324"/>
    <w:rsid w:val="00A9748A"/>
    <w:rsid w:val="00AD1E47"/>
    <w:rsid w:val="00B36192"/>
    <w:rsid w:val="00B64C30"/>
    <w:rsid w:val="00B715A2"/>
    <w:rsid w:val="00BF52B6"/>
    <w:rsid w:val="00C41777"/>
    <w:rsid w:val="00C83338"/>
    <w:rsid w:val="00C90FDD"/>
    <w:rsid w:val="00CE3E33"/>
    <w:rsid w:val="00CE5C65"/>
    <w:rsid w:val="00D1077C"/>
    <w:rsid w:val="00D331FE"/>
    <w:rsid w:val="00D46D2C"/>
    <w:rsid w:val="00D50841"/>
    <w:rsid w:val="00D50C69"/>
    <w:rsid w:val="00D510F6"/>
    <w:rsid w:val="00D7318C"/>
    <w:rsid w:val="00D938E0"/>
    <w:rsid w:val="00DD344A"/>
    <w:rsid w:val="00E05122"/>
    <w:rsid w:val="00E171DE"/>
    <w:rsid w:val="00E42808"/>
    <w:rsid w:val="00E46213"/>
    <w:rsid w:val="00E46AE6"/>
    <w:rsid w:val="00E55807"/>
    <w:rsid w:val="00E83E18"/>
    <w:rsid w:val="00ED0090"/>
    <w:rsid w:val="00EF2AB4"/>
    <w:rsid w:val="00F0249B"/>
    <w:rsid w:val="00F255F8"/>
    <w:rsid w:val="00F410A2"/>
    <w:rsid w:val="00F65AAB"/>
    <w:rsid w:val="03B1B6D6"/>
    <w:rsid w:val="04E6EC5D"/>
    <w:rsid w:val="05B3A6D0"/>
    <w:rsid w:val="064703F6"/>
    <w:rsid w:val="10EEC3DC"/>
    <w:rsid w:val="115CE2C8"/>
    <w:rsid w:val="13084456"/>
    <w:rsid w:val="14ADD688"/>
    <w:rsid w:val="15F20335"/>
    <w:rsid w:val="16F83F73"/>
    <w:rsid w:val="19F75E26"/>
    <w:rsid w:val="1A851726"/>
    <w:rsid w:val="1C5DA93C"/>
    <w:rsid w:val="1D5A1AE1"/>
    <w:rsid w:val="1D73475F"/>
    <w:rsid w:val="1DCCA647"/>
    <w:rsid w:val="213DCC3D"/>
    <w:rsid w:val="26268801"/>
    <w:rsid w:val="26A6C50A"/>
    <w:rsid w:val="27095DA4"/>
    <w:rsid w:val="28DD693E"/>
    <w:rsid w:val="2A6F29ED"/>
    <w:rsid w:val="2B163D1C"/>
    <w:rsid w:val="2D30F58E"/>
    <w:rsid w:val="2F138C5A"/>
    <w:rsid w:val="32071A5E"/>
    <w:rsid w:val="3215978E"/>
    <w:rsid w:val="331876BC"/>
    <w:rsid w:val="33C74022"/>
    <w:rsid w:val="3584F225"/>
    <w:rsid w:val="3747B297"/>
    <w:rsid w:val="37F7A349"/>
    <w:rsid w:val="3A71AD2D"/>
    <w:rsid w:val="3AC2E8DF"/>
    <w:rsid w:val="3C6B52C3"/>
    <w:rsid w:val="3D8CD731"/>
    <w:rsid w:val="3FD28C93"/>
    <w:rsid w:val="3FE267DE"/>
    <w:rsid w:val="416EF199"/>
    <w:rsid w:val="41B36640"/>
    <w:rsid w:val="4378CA26"/>
    <w:rsid w:val="43887D9F"/>
    <w:rsid w:val="43CA2080"/>
    <w:rsid w:val="45B88087"/>
    <w:rsid w:val="45EAA324"/>
    <w:rsid w:val="46512C34"/>
    <w:rsid w:val="494AB8C3"/>
    <w:rsid w:val="4AE19EA9"/>
    <w:rsid w:val="4C44C8D0"/>
    <w:rsid w:val="4DE698F5"/>
    <w:rsid w:val="4EC0FE41"/>
    <w:rsid w:val="4ED16FA9"/>
    <w:rsid w:val="4F4B42A0"/>
    <w:rsid w:val="55CD420F"/>
    <w:rsid w:val="56C46449"/>
    <w:rsid w:val="57A83BE1"/>
    <w:rsid w:val="59617166"/>
    <w:rsid w:val="59EABF9C"/>
    <w:rsid w:val="59FC4502"/>
    <w:rsid w:val="5C1F3873"/>
    <w:rsid w:val="5EE67F5A"/>
    <w:rsid w:val="6034EB72"/>
    <w:rsid w:val="6298E98D"/>
    <w:rsid w:val="634C56EE"/>
    <w:rsid w:val="64A135F9"/>
    <w:rsid w:val="66C4010F"/>
    <w:rsid w:val="67FD8390"/>
    <w:rsid w:val="69453903"/>
    <w:rsid w:val="6CC96F70"/>
    <w:rsid w:val="6DFEDDDA"/>
    <w:rsid w:val="701AC114"/>
    <w:rsid w:val="719D9559"/>
    <w:rsid w:val="73F46494"/>
    <w:rsid w:val="7624B0B6"/>
    <w:rsid w:val="78343E02"/>
    <w:rsid w:val="7877C0F7"/>
    <w:rsid w:val="7B2F9D56"/>
    <w:rsid w:val="7B3EE0C1"/>
    <w:rsid w:val="7BBE4C44"/>
    <w:rsid w:val="7C6CF5F4"/>
    <w:rsid w:val="7C7A7CE1"/>
    <w:rsid w:val="7CAA24BF"/>
    <w:rsid w:val="7DC8F31B"/>
    <w:rsid w:val="7E53E136"/>
    <w:rsid w:val="7F18C8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2401"/>
  <w15:chartTrackingRefBased/>
  <w15:docId w15:val="{1CF18F30-34CF-412B-9D3D-FC2E510F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30"/>
  </w:style>
  <w:style w:type="paragraph" w:styleId="Heading1">
    <w:name w:val="heading 1"/>
    <w:basedOn w:val="Normal"/>
    <w:next w:val="Normal"/>
    <w:link w:val="Heading1Char"/>
    <w:uiPriority w:val="9"/>
    <w:qFormat/>
    <w:rsid w:val="00B64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C30"/>
    <w:rPr>
      <w:rFonts w:eastAsiaTheme="majorEastAsia" w:cstheme="majorBidi"/>
      <w:color w:val="272727" w:themeColor="text1" w:themeTint="D8"/>
    </w:rPr>
  </w:style>
  <w:style w:type="paragraph" w:styleId="Title">
    <w:name w:val="Title"/>
    <w:basedOn w:val="Normal"/>
    <w:next w:val="Normal"/>
    <w:link w:val="TitleChar"/>
    <w:uiPriority w:val="10"/>
    <w:qFormat/>
    <w:rsid w:val="00B64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C30"/>
    <w:pPr>
      <w:spacing w:before="160"/>
      <w:jc w:val="center"/>
    </w:pPr>
    <w:rPr>
      <w:i/>
      <w:iCs/>
      <w:color w:val="404040" w:themeColor="text1" w:themeTint="BF"/>
    </w:rPr>
  </w:style>
  <w:style w:type="character" w:customStyle="1" w:styleId="QuoteChar">
    <w:name w:val="Quote Char"/>
    <w:basedOn w:val="DefaultParagraphFont"/>
    <w:link w:val="Quote"/>
    <w:uiPriority w:val="29"/>
    <w:rsid w:val="00B64C30"/>
    <w:rPr>
      <w:i/>
      <w:iCs/>
      <w:color w:val="404040" w:themeColor="text1" w:themeTint="BF"/>
    </w:rPr>
  </w:style>
  <w:style w:type="paragraph" w:styleId="ListParagraph">
    <w:name w:val="List Paragraph"/>
    <w:aliases w:val="Dot pt,F5 List Paragraph,List Paragraph1,Numbered Para 1,No Spacing1,List Paragraph Char Char Char,Indicator Text,Bullet Points,MAIN CONTENT,Bullet 1,Colorful List - Accent 11"/>
    <w:basedOn w:val="Normal"/>
    <w:link w:val="ListParagraphChar"/>
    <w:uiPriority w:val="34"/>
    <w:qFormat/>
    <w:rsid w:val="00B64C30"/>
    <w:pPr>
      <w:ind w:left="720"/>
      <w:contextualSpacing/>
    </w:pPr>
  </w:style>
  <w:style w:type="character" w:styleId="IntenseEmphasis">
    <w:name w:val="Intense Emphasis"/>
    <w:basedOn w:val="DefaultParagraphFont"/>
    <w:uiPriority w:val="21"/>
    <w:qFormat/>
    <w:rsid w:val="00B64C30"/>
    <w:rPr>
      <w:i/>
      <w:iCs/>
      <w:color w:val="0F4761" w:themeColor="accent1" w:themeShade="BF"/>
    </w:rPr>
  </w:style>
  <w:style w:type="paragraph" w:styleId="IntenseQuote">
    <w:name w:val="Intense Quote"/>
    <w:basedOn w:val="Normal"/>
    <w:next w:val="Normal"/>
    <w:link w:val="IntenseQuoteChar"/>
    <w:uiPriority w:val="30"/>
    <w:qFormat/>
    <w:rsid w:val="00B64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C30"/>
    <w:rPr>
      <w:i/>
      <w:iCs/>
      <w:color w:val="0F4761" w:themeColor="accent1" w:themeShade="BF"/>
    </w:rPr>
  </w:style>
  <w:style w:type="character" w:styleId="IntenseReference">
    <w:name w:val="Intense Reference"/>
    <w:basedOn w:val="DefaultParagraphFont"/>
    <w:uiPriority w:val="32"/>
    <w:qFormat/>
    <w:rsid w:val="00B64C30"/>
    <w:rPr>
      <w:b/>
      <w:bCs/>
      <w:smallCaps/>
      <w:color w:val="0F4761" w:themeColor="accent1" w:themeShade="BF"/>
      <w:spacing w:val="5"/>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qFormat/>
    <w:locked/>
    <w:rsid w:val="00B64C30"/>
  </w:style>
  <w:style w:type="table" w:styleId="TableGrid">
    <w:name w:val="Table Grid"/>
    <w:basedOn w:val="TableNormal"/>
    <w:uiPriority w:val="39"/>
    <w:rsid w:val="00B6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549D"/>
    <w:pPr>
      <w:spacing w:after="0" w:line="240" w:lineRule="auto"/>
    </w:pPr>
  </w:style>
  <w:style w:type="character" w:styleId="CommentReference">
    <w:name w:val="annotation reference"/>
    <w:basedOn w:val="DefaultParagraphFont"/>
    <w:uiPriority w:val="99"/>
    <w:semiHidden/>
    <w:unhideWhenUsed/>
    <w:rsid w:val="00193723"/>
    <w:rPr>
      <w:sz w:val="16"/>
      <w:szCs w:val="16"/>
    </w:rPr>
  </w:style>
  <w:style w:type="paragraph" w:styleId="CommentText">
    <w:name w:val="annotation text"/>
    <w:basedOn w:val="Normal"/>
    <w:link w:val="CommentTextChar"/>
    <w:uiPriority w:val="99"/>
    <w:unhideWhenUsed/>
    <w:rsid w:val="00193723"/>
    <w:pPr>
      <w:spacing w:line="240" w:lineRule="auto"/>
    </w:pPr>
    <w:rPr>
      <w:sz w:val="20"/>
      <w:szCs w:val="20"/>
    </w:rPr>
  </w:style>
  <w:style w:type="character" w:customStyle="1" w:styleId="CommentTextChar">
    <w:name w:val="Comment Text Char"/>
    <w:basedOn w:val="DefaultParagraphFont"/>
    <w:link w:val="CommentText"/>
    <w:uiPriority w:val="99"/>
    <w:rsid w:val="00193723"/>
    <w:rPr>
      <w:sz w:val="20"/>
      <w:szCs w:val="20"/>
    </w:rPr>
  </w:style>
  <w:style w:type="paragraph" w:styleId="CommentSubject">
    <w:name w:val="annotation subject"/>
    <w:basedOn w:val="CommentText"/>
    <w:next w:val="CommentText"/>
    <w:link w:val="CommentSubjectChar"/>
    <w:uiPriority w:val="99"/>
    <w:semiHidden/>
    <w:unhideWhenUsed/>
    <w:rsid w:val="00193723"/>
    <w:rPr>
      <w:b/>
      <w:bCs/>
    </w:rPr>
  </w:style>
  <w:style w:type="character" w:customStyle="1" w:styleId="CommentSubjectChar">
    <w:name w:val="Comment Subject Char"/>
    <w:basedOn w:val="CommentTextChar"/>
    <w:link w:val="CommentSubject"/>
    <w:uiPriority w:val="99"/>
    <w:semiHidden/>
    <w:rsid w:val="00193723"/>
    <w:rPr>
      <w:b/>
      <w:bCs/>
      <w:sz w:val="20"/>
      <w:szCs w:val="20"/>
    </w:rPr>
  </w:style>
  <w:style w:type="character" w:styleId="Hyperlink">
    <w:name w:val="Hyperlink"/>
    <w:basedOn w:val="DefaultParagraphFont"/>
    <w:uiPriority w:val="99"/>
    <w:unhideWhenUsed/>
    <w:rsid w:val="3AC2E8DF"/>
    <w:rPr>
      <w:color w:val="467886"/>
      <w:u w:val="single"/>
    </w:rPr>
  </w:style>
  <w:style w:type="paragraph" w:styleId="Header">
    <w:name w:val="header"/>
    <w:basedOn w:val="Normal"/>
    <w:uiPriority w:val="99"/>
    <w:unhideWhenUsed/>
    <w:rsid w:val="634C56EE"/>
    <w:pPr>
      <w:tabs>
        <w:tab w:val="center" w:pos="4680"/>
        <w:tab w:val="right" w:pos="9360"/>
      </w:tabs>
      <w:spacing w:after="0" w:line="240" w:lineRule="auto"/>
    </w:pPr>
  </w:style>
  <w:style w:type="paragraph" w:styleId="Footer">
    <w:name w:val="footer"/>
    <w:basedOn w:val="Normal"/>
    <w:uiPriority w:val="99"/>
    <w:unhideWhenUsed/>
    <w:rsid w:val="634C56EE"/>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CE5C65"/>
    <w:rPr>
      <w:color w:val="96607D" w:themeColor="followedHyperlink"/>
      <w:u w:val="single"/>
    </w:rPr>
  </w:style>
  <w:style w:type="character" w:styleId="UnresolvedMention">
    <w:name w:val="Unresolved Mention"/>
    <w:basedOn w:val="DefaultParagraphFont"/>
    <w:uiPriority w:val="99"/>
    <w:semiHidden/>
    <w:unhideWhenUsed/>
    <w:rsid w:val="00090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7651">
      <w:bodyDiv w:val="1"/>
      <w:marLeft w:val="0"/>
      <w:marRight w:val="0"/>
      <w:marTop w:val="0"/>
      <w:marBottom w:val="0"/>
      <w:divBdr>
        <w:top w:val="none" w:sz="0" w:space="0" w:color="auto"/>
        <w:left w:val="none" w:sz="0" w:space="0" w:color="auto"/>
        <w:bottom w:val="none" w:sz="0" w:space="0" w:color="auto"/>
        <w:right w:val="none" w:sz="0" w:space="0" w:color="auto"/>
      </w:divBdr>
    </w:div>
    <w:div w:id="123696782">
      <w:bodyDiv w:val="1"/>
      <w:marLeft w:val="0"/>
      <w:marRight w:val="0"/>
      <w:marTop w:val="0"/>
      <w:marBottom w:val="0"/>
      <w:divBdr>
        <w:top w:val="none" w:sz="0" w:space="0" w:color="auto"/>
        <w:left w:val="none" w:sz="0" w:space="0" w:color="auto"/>
        <w:bottom w:val="none" w:sz="0" w:space="0" w:color="auto"/>
        <w:right w:val="none" w:sz="0" w:space="0" w:color="auto"/>
      </w:divBdr>
    </w:div>
    <w:div w:id="842665818">
      <w:bodyDiv w:val="1"/>
      <w:marLeft w:val="0"/>
      <w:marRight w:val="0"/>
      <w:marTop w:val="0"/>
      <w:marBottom w:val="0"/>
      <w:divBdr>
        <w:top w:val="none" w:sz="0" w:space="0" w:color="auto"/>
        <w:left w:val="none" w:sz="0" w:space="0" w:color="auto"/>
        <w:bottom w:val="none" w:sz="0" w:space="0" w:color="auto"/>
        <w:right w:val="none" w:sz="0" w:space="0" w:color="auto"/>
      </w:divBdr>
    </w:div>
    <w:div w:id="18228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riendsprovidentfoundation.org/grants/how-to-app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0DB7411326843B67DDC4CE782939C" ma:contentTypeVersion="15" ma:contentTypeDescription="Create a new document." ma:contentTypeScope="" ma:versionID="21c1d6b41cd1c60597e063a0675a5eaf">
  <xsd:schema xmlns:xsd="http://www.w3.org/2001/XMLSchema" xmlns:xs="http://www.w3.org/2001/XMLSchema" xmlns:p="http://schemas.microsoft.com/office/2006/metadata/properties" xmlns:ns2="f4978625-50a1-4dc3-974c-1ee1b0714f70" xmlns:ns3="419b1ea9-7509-4320-8ca6-c0b8a8c0f40b" targetNamespace="http://schemas.microsoft.com/office/2006/metadata/properties" ma:root="true" ma:fieldsID="99144b147fcc0419c7f88ad7c3cbf155" ns2:_="" ns3:_="">
    <xsd:import namespace="f4978625-50a1-4dc3-974c-1ee1b0714f70"/>
    <xsd:import namespace="419b1ea9-7509-4320-8ca6-c0b8a8c0f4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8625-50a1-4dc3-974c-1ee1b0714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07a76b-e6b8-4d6c-834d-75d8ad0a82d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1ea9-7509-4320-8ca6-c0b8a8c0f4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c2e97e-62d6-4178-8478-1a230efcb493}" ma:internalName="TaxCatchAll" ma:showField="CatchAllData" ma:web="419b1ea9-7509-4320-8ca6-c0b8a8c0f4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4C160-702B-43CD-B7C0-6422C08C6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8625-50a1-4dc3-974c-1ee1b0714f70"/>
    <ds:schemaRef ds:uri="419b1ea9-7509-4320-8ca6-c0b8a8c0f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4FEDB-83A7-4F8D-B13F-8A0675455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Gibson</dc:creator>
  <cp:keywords/>
  <dc:description/>
  <cp:lastModifiedBy>Abigail Gibson</cp:lastModifiedBy>
  <cp:revision>83</cp:revision>
  <dcterms:created xsi:type="dcterms:W3CDTF">2024-06-05T09:19:00Z</dcterms:created>
  <dcterms:modified xsi:type="dcterms:W3CDTF">2025-05-05T14:27:00Z</dcterms:modified>
</cp:coreProperties>
</file>